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沈阳化工大学助力营口精细化工产业集群高质量发展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暨政媒协同聚合力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精准服务促就业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座谈会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各相关企业：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为助力我市精细化工产业集群发展，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让沈阳化工大学的优势“智力资源”与营口精细化工产业的“发展需求”实现深度融合、同频共振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市工信局、市人社局、营口新闻传媒中心联合组织召开“</w:t>
      </w:r>
      <w:r>
        <w:rPr>
          <w:rFonts w:hint="eastAsia" w:ascii="仿宋_GB2312" w:hAnsi="仿宋_GB2312" w:eastAsia="仿宋_GB2312" w:cs="仿宋_GB2312"/>
          <w:sz w:val="32"/>
          <w:szCs w:val="32"/>
        </w:rPr>
        <w:t>沈阳化工大学助力营口精细化工产业集群高质量发展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暨政媒协同聚合力 精准服务促就业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座谈会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一、会议安排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  间：2026年1月14日下午1:30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558" w:leftChars="304" w:hanging="1920" w:hanging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2.地    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营口新闻传媒中心技术楼2楼全媒体指挥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调度中心会议室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3.参会人员：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沈阳化工大学方面：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沈阳化工大学党委常委、副校长             于三三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沈阳化工大学招生与就业工作处处长         王立刚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沈阳化工大学招生与就业工作处             王瑛玉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沈阳化工大学化学工程学院副院长           刘彦泽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沈阳化工大学机械与动力工程学院副院长     王宗勇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材料科学与工程学院党委副书记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信息工程学院党委副书记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王爱文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理学院博士、教师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机械与动力工程学院辅导员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武锡铭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化学工程学院辅导员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刘思阳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沈阳化工大学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计算机科学与技术学院辅导员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易柏言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营口市方面：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营口市人力资源和社会保障局党组书记、局长 孙学刚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8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5"/>
          <w:sz w:val="32"/>
          <w:szCs w:val="32"/>
          <w:lang w:val="en-US" w:eastAsia="zh-CN"/>
        </w:rPr>
        <w:t>营口市人力资源和社会保障局党组成员、副局长  孙龙健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营口市工业和信息化局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副局长               冯天越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营口新闻传媒中心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党委副书记               李奇志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营口市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人力资源和就业事务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中心主任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营口市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人力资源和就业事务</w:t>
      </w:r>
      <w:r>
        <w:rPr>
          <w:rFonts w:hint="default" w:ascii="仿宋_GB2312" w:hAnsi="仿宋_GB2312" w:eastAsia="仿宋_GB2312" w:cs="仿宋_GB2312"/>
          <w:w w:val="100"/>
          <w:sz w:val="32"/>
          <w:szCs w:val="32"/>
          <w:lang w:val="en-US" w:eastAsia="zh-CN"/>
        </w:rPr>
        <w:t>中心副主任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任彦永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围绕我市精细化工产业集群企业在“智改数转”、人才需求、科研合作方面进交流座谈，同时对市工信和人社工作作提出意见和建议。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三、参会须知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请参会企业围绕企业需求选派人员参会，参会人员名单请于1月12日下班前报市工信局。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遵守会议纪律。请与会人员注意参会秩序，提前15分钟进入会场，确保全程参会。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联系人：赵洋 17887555755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  件：参会报名表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营口市工业和信息化局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沈阳化工大学助力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营口精细化工产业集群高质量发展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暨政媒协同聚合力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精准服务促就业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座谈会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2293"/>
        <w:gridCol w:w="1311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D0E87"/>
    <w:rsid w:val="584D0E87"/>
    <w:rsid w:val="5FEBB0C0"/>
    <w:rsid w:val="69769B8C"/>
    <w:rsid w:val="6AFBEBBC"/>
    <w:rsid w:val="6FAF719A"/>
    <w:rsid w:val="6FE630C4"/>
    <w:rsid w:val="7F677731"/>
    <w:rsid w:val="AEEF2169"/>
    <w:rsid w:val="E6D40354"/>
    <w:rsid w:val="FBD3F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2026-01-10T02:11:00Z</dcterms:created>
  <dc:creator>等一个晴天</dc:creator>
  <cp:lastModifiedBy>greatwall</cp:lastModifiedBy>
  <cp:lastPrinted>2026-01-12T11:10:40Z</cp:lastPrinted>
  <dcterms:modified xsi:type="dcterms:W3CDTF">2026-01-12T11:15:27Z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340F6031ADCC4B389FA8B15EE45C1769_11</vt:lpwstr>
  </property>
  <property fmtid="{D5CDD505-2E9C-101B-9397-08002B2CF9AE}" pid="4" name="KSOTemplateDocerSaveRecord">
    <vt:lpwstr>eyJoZGlkIjoiMTY5Y2YyMzgzZTNmYjQ4Nzg0N2FmMWNkZDRiOTBlMzciLCJ1c2VySWQiOiI0NDkzOTU0MTEifQ==</vt:lpwstr>
  </property>
</Properties>
</file>