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20XX年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lang w:val="en-US" w:eastAsia="zh-CN"/>
        </w:rPr>
        <w:t>企业</w:t>
      </w:r>
      <w:r>
        <w:rPr>
          <w:rFonts w:hint="eastAsia"/>
          <w:sz w:val="32"/>
        </w:rPr>
        <w:t>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</w:pPr>
      <w:r>
        <w:rPr>
          <w:rFonts w:hint="eastAsia"/>
          <w:sz w:val="32"/>
          <w:lang w:val="en-US" w:eastAsia="zh-CN"/>
        </w:rPr>
        <w:t xml:space="preserve">      </w:t>
      </w: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pacing w:line="420" w:lineRule="exact"/>
        <w:ind w:right="344" w:rightChars="123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20" w:lineRule="exact"/>
        <w:ind w:right="344" w:rightChars="123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20" w:lineRule="exact"/>
        <w:ind w:right="344" w:rightChars="123"/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344" w:rightChars="12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报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ascii="黑体" w:eastAsia="黑体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需签署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标杆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申报承诺书，由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法人代表或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签字并加盖公章。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2.申报单位需有推荐单位推荐，推荐单位需撰写推荐意见并加盖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标杆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申报材料由申报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书和典型经验材料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组成，材料内容不得涉及国家秘密。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4.相关表格需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指申报当年之前连续三年的指标。如表内填不下可另加附页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我们在申报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本单位自愿申报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质量标杆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接受社会各界的监督。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 xml:space="preserve">    2.提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严格遵守《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辽宁省质量标杆认证管理暂行办法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》的有关规定，恪守社会公德、企业道德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在评审过程中，积极予以支持、配合不采取不正当手段，干扰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质量标杆评审工作。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="0" w:firstLineChars="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本单位对上述条款做出郑重承诺，并在申报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质量标杆过程中严格遵守。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left="0" w:right="0" w:firstLine="0" w:firstLineChars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法人签字：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Spec="center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233"/>
        <w:gridCol w:w="2231"/>
        <w:gridCol w:w="108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tabs>
                <w:tab w:val="left" w:pos="2952"/>
              </w:tabs>
              <w:bidi w:val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</w:rPr>
              <w:t>统一社会信用代码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行业分类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1528"/>
            <w:placeholder>
              <w:docPart w:val="{30d277f4-8077-4cf1-a680-3dad176a7bfd}"/>
            </w:placeholder>
            <w:showingPlcHdr/>
            <w:dropDownList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其他服务业" w:value="其他服务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申报方向（可多选）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宋体"/>
                <w:bCs/>
                <w:spacing w:val="-14"/>
                <w:sz w:val="24"/>
                <w:szCs w:val="40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质量管理体系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质量管理数字化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可靠性提升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过程控制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质量管理方法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  <w:r>
              <w:rPr>
                <w:rFonts w:hint="eastAsia"/>
                <w:b/>
                <w:sz w:val="24"/>
                <w:szCs w:val="20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         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211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24"/>
        <w:gridCol w:w="950"/>
        <w:gridCol w:w="983"/>
        <w:gridCol w:w="982"/>
        <w:gridCol w:w="983"/>
        <w:gridCol w:w="958"/>
        <w:gridCol w:w="1007"/>
        <w:gridCol w:w="101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0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bCs/>
                <w:spacing w:val="-4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-4"/>
                <w:sz w:val="24"/>
                <w:szCs w:val="22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spacing w:val="-4"/>
                <w:sz w:val="24"/>
                <w:szCs w:val="22"/>
              </w:rPr>
              <w:t>产品/服务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</w:tcPr>
          <w:p>
            <w:pPr>
              <w:spacing w:line="700" w:lineRule="exact"/>
              <w:jc w:val="left"/>
              <w:rPr>
                <w:bCs/>
              </w:rPr>
            </w:pPr>
          </w:p>
        </w:tc>
        <w:tc>
          <w:tcPr>
            <w:tcW w:w="1965" w:type="dxa"/>
            <w:gridSpan w:val="2"/>
          </w:tcPr>
          <w:p>
            <w:pPr>
              <w:spacing w:line="700" w:lineRule="exact"/>
              <w:jc w:val="left"/>
              <w:rPr>
                <w:bCs/>
              </w:rPr>
            </w:pPr>
          </w:p>
        </w:tc>
        <w:tc>
          <w:tcPr>
            <w:tcW w:w="2008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市场占有</w:t>
            </w:r>
          </w:p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份额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年度</w:t>
            </w: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国内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国际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95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满意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程度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pacing w:val="-16"/>
                <w:sz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忠诚</w:t>
            </w:r>
          </w:p>
          <w:p>
            <w:pPr>
              <w:jc w:val="center"/>
              <w:rPr>
                <w:b/>
                <w:bCs w:val="0"/>
                <w:spacing w:val="22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pacing w:val="22"/>
                <w:sz w:val="24"/>
                <w:szCs w:val="22"/>
              </w:rPr>
              <w:t>程度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20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82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21</w:t>
            </w:r>
            <w:r>
              <w:rPr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82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20</w:t>
            </w:r>
            <w:r>
              <w:rPr>
                <w:bCs/>
                <w:sz w:val="24"/>
                <w:szCs w:val="22"/>
              </w:rPr>
              <w:t>2</w:t>
            </w:r>
            <w:r>
              <w:rPr>
                <w:rFonts w:hint="eastAsia"/>
                <w:bCs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2"/>
              </w:rPr>
              <w:t>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jc w:val="left"/>
        <w:rPr>
          <w:rFonts w:hint="eastAsia" w:ascii="仿宋_GB2312" w:eastAsia="仿宋_GB2312"/>
          <w:bCs/>
          <w:sz w:val="24"/>
        </w:rPr>
      </w:pPr>
    </w:p>
    <w:p>
      <w:pPr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275" w:tblpY="103"/>
        <w:tblOverlap w:val="never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873"/>
        <w:gridCol w:w="987"/>
        <w:gridCol w:w="1047"/>
        <w:gridCol w:w="1048"/>
        <w:gridCol w:w="1047"/>
        <w:gridCol w:w="1048"/>
        <w:gridCol w:w="104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20" w:leftChars="-50" w:right="-140" w:rightChars="-50" w:hanging="120" w:hangingChars="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  目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行业平均水平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行业最佳水平</w:t>
            </w: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资产总额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主营业务收入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利润总额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2"/>
                <w:szCs w:val="22"/>
              </w:rPr>
              <w:t>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流动资产周转率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次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全员劳动生产率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4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14"/>
                <w:sz w:val="22"/>
                <w:szCs w:val="28"/>
              </w:rPr>
              <w:t>万元/人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设备综合效率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质量损失率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产品合格率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产品返修率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％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71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2"/>
                <w:szCs w:val="28"/>
                <w:lang w:val="en-US" w:eastAsia="zh-CN"/>
              </w:rPr>
              <w:t>0</w:t>
            </w:r>
          </w:p>
        </w:tc>
        <w:tc>
          <w:tcPr>
            <w:tcW w:w="187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2"/>
                <w:szCs w:val="28"/>
              </w:rPr>
              <w:t>万元总产值综合能耗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12"/>
                <w:sz w:val="22"/>
                <w:szCs w:val="28"/>
              </w:rPr>
              <w:t>吨/万元</w:t>
            </w: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ind w:firstLine="570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tbl>
      <w:tblPr>
        <w:tblStyle w:val="6"/>
        <w:tblpPr w:leftFromText="180" w:rightFromText="180" w:vertAnchor="text" w:horzAnchor="page" w:tblpX="1315" w:tblpY="200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463"/>
        <w:gridCol w:w="231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4"/>
                <w:szCs w:val="24"/>
                <w:lang w:val="en-US" w:eastAsia="zh-CN"/>
              </w:rPr>
              <w:t>对产业链与供应链发展的贡献情况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污染方面的情况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有效利用资源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方面的情况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p>
      <w:pPr>
        <w:spacing w:line="340" w:lineRule="exact"/>
        <w:rPr>
          <w:rFonts w:hint="eastAsia" w:eastAsia="仿宋_GB2312"/>
          <w:bCs/>
          <w:sz w:val="36"/>
          <w:lang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0" w:num="1"/>
          <w:rtlGutter w:val="0"/>
          <w:docGrid w:linePitch="312" w:charSpace="0"/>
        </w:sect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4"/>
        <w:gridCol w:w="2544"/>
        <w:gridCol w:w="1438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9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产品/服务名称</w:t>
            </w:r>
          </w:p>
        </w:tc>
        <w:tc>
          <w:tcPr>
            <w:tcW w:w="25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竞争对手/标杆名称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市场份额</w:t>
            </w:r>
          </w:p>
        </w:tc>
        <w:tc>
          <w:tcPr>
            <w:tcW w:w="30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主要优势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44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rFonts w:hint="eastAsia"/>
          <w:bCs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spacing w:beforeLines="0" w:afterLine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质量标杆推荐表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default" w:ascii="仿宋_GB2312" w:eastAsia="仿宋_GB2312"/>
          <w:bCs/>
          <w:sz w:val="24"/>
          <w:lang w:val="en" w:eastAsia="zh-CN"/>
        </w:rPr>
      </w:pPr>
      <w:bookmarkStart w:id="0" w:name="_GoBack"/>
      <w:r>
        <w:rPr>
          <w:rFonts w:hint="default" w:ascii="仿宋_GB2312" w:eastAsia="仿宋_GB2312"/>
          <w:bCs/>
          <w:sz w:val="24"/>
          <w:lang w:val="en" w:eastAsia="zh-CN"/>
        </w:rPr>
        <w:t>注：推荐单位为各市（区）工业和信息化主管部门</w:t>
      </w:r>
    </w:p>
    <w:bookmarkEnd w:id="0"/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tbl>
      <w:tblPr>
        <w:tblStyle w:val="6"/>
        <w:tblpPr w:leftFromText="180" w:rightFromText="180" w:vertAnchor="page" w:horzAnchor="page" w:tblpXSpec="center" w:tblpY="2368"/>
        <w:tblOverlap w:val="never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305"/>
        <w:gridCol w:w="208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推荐单位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  <w:jc w:val="center"/>
        </w:trPr>
        <w:tc>
          <w:tcPr>
            <w:tcW w:w="8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spacing w:beforeLines="0" w:afterLines="0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>（含本市对质量标杆工作措施和政策手段）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spacing w:beforeLines="0" w:afterLines="0"/>
        <w:jc w:val="both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OGRmNWQ0OTQ0OGFiNzc1Yzg3ZDYzMzc4NDE1MmM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6D6AC7"/>
    <w:rsid w:val="01804A4C"/>
    <w:rsid w:val="018067FB"/>
    <w:rsid w:val="019B53E2"/>
    <w:rsid w:val="01BB7833"/>
    <w:rsid w:val="01C04E49"/>
    <w:rsid w:val="024A0BB7"/>
    <w:rsid w:val="02866093"/>
    <w:rsid w:val="02FC45A7"/>
    <w:rsid w:val="030B47EA"/>
    <w:rsid w:val="03541CED"/>
    <w:rsid w:val="03F82FC0"/>
    <w:rsid w:val="03FA6D38"/>
    <w:rsid w:val="04131BA8"/>
    <w:rsid w:val="04651CD8"/>
    <w:rsid w:val="04B213C1"/>
    <w:rsid w:val="04D550AF"/>
    <w:rsid w:val="054162A1"/>
    <w:rsid w:val="05665D07"/>
    <w:rsid w:val="057448C8"/>
    <w:rsid w:val="0580326D"/>
    <w:rsid w:val="05832D5D"/>
    <w:rsid w:val="059F2CE2"/>
    <w:rsid w:val="05A50F26"/>
    <w:rsid w:val="061340E1"/>
    <w:rsid w:val="06A64F55"/>
    <w:rsid w:val="06D575E9"/>
    <w:rsid w:val="071C6FC5"/>
    <w:rsid w:val="07354E58"/>
    <w:rsid w:val="07634BF4"/>
    <w:rsid w:val="077706A0"/>
    <w:rsid w:val="07A1192D"/>
    <w:rsid w:val="07B611C8"/>
    <w:rsid w:val="07C82CA9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AC2C7C"/>
    <w:rsid w:val="09D678FF"/>
    <w:rsid w:val="0A116B8A"/>
    <w:rsid w:val="0A2C5771"/>
    <w:rsid w:val="0A326B00"/>
    <w:rsid w:val="0A40121D"/>
    <w:rsid w:val="0B0E131B"/>
    <w:rsid w:val="0B3F14D4"/>
    <w:rsid w:val="0B582596"/>
    <w:rsid w:val="0B5A00BC"/>
    <w:rsid w:val="0C060244"/>
    <w:rsid w:val="0C22507E"/>
    <w:rsid w:val="0C232BA4"/>
    <w:rsid w:val="0CE642FD"/>
    <w:rsid w:val="0D103128"/>
    <w:rsid w:val="0D18022F"/>
    <w:rsid w:val="0D215336"/>
    <w:rsid w:val="0D896A37"/>
    <w:rsid w:val="0D957AD2"/>
    <w:rsid w:val="0DC12675"/>
    <w:rsid w:val="0DDE3227"/>
    <w:rsid w:val="0E2F3A82"/>
    <w:rsid w:val="0E323572"/>
    <w:rsid w:val="0E7019A5"/>
    <w:rsid w:val="0E771982"/>
    <w:rsid w:val="0E910299"/>
    <w:rsid w:val="0EA37FCC"/>
    <w:rsid w:val="0EF34AB0"/>
    <w:rsid w:val="0F276507"/>
    <w:rsid w:val="0FC4644C"/>
    <w:rsid w:val="0FEF171B"/>
    <w:rsid w:val="109776BD"/>
    <w:rsid w:val="10D0497D"/>
    <w:rsid w:val="10D95F27"/>
    <w:rsid w:val="112A22DF"/>
    <w:rsid w:val="118045F5"/>
    <w:rsid w:val="11D010D8"/>
    <w:rsid w:val="125735A8"/>
    <w:rsid w:val="12FC7CAB"/>
    <w:rsid w:val="13223BB5"/>
    <w:rsid w:val="13734411"/>
    <w:rsid w:val="13DF3855"/>
    <w:rsid w:val="145B3DF1"/>
    <w:rsid w:val="14832432"/>
    <w:rsid w:val="14ED3D4F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587BF3"/>
    <w:rsid w:val="1AA43102"/>
    <w:rsid w:val="1AB64BE3"/>
    <w:rsid w:val="1AD122E4"/>
    <w:rsid w:val="1AE67F2F"/>
    <w:rsid w:val="1AFA71C6"/>
    <w:rsid w:val="1B210BF7"/>
    <w:rsid w:val="1B634D6B"/>
    <w:rsid w:val="1B6A434C"/>
    <w:rsid w:val="1BC51582"/>
    <w:rsid w:val="1BDE0896"/>
    <w:rsid w:val="1BF34341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8B67FB"/>
    <w:rsid w:val="1DB96EC4"/>
    <w:rsid w:val="1DD45AAC"/>
    <w:rsid w:val="1DE026A3"/>
    <w:rsid w:val="1DEF6D8A"/>
    <w:rsid w:val="1E1862E1"/>
    <w:rsid w:val="1E2F53D8"/>
    <w:rsid w:val="1E472722"/>
    <w:rsid w:val="1E8C45D9"/>
    <w:rsid w:val="1E8E65A3"/>
    <w:rsid w:val="1EAC07D7"/>
    <w:rsid w:val="1EB37344"/>
    <w:rsid w:val="1EFA1543"/>
    <w:rsid w:val="1EFA59E6"/>
    <w:rsid w:val="1F391B38"/>
    <w:rsid w:val="1F751511"/>
    <w:rsid w:val="1F841754"/>
    <w:rsid w:val="1FA37E2C"/>
    <w:rsid w:val="1FB43DE7"/>
    <w:rsid w:val="1FCB2EDF"/>
    <w:rsid w:val="1FE521F3"/>
    <w:rsid w:val="1FFC12EA"/>
    <w:rsid w:val="203647FC"/>
    <w:rsid w:val="204D5FEA"/>
    <w:rsid w:val="208D63E6"/>
    <w:rsid w:val="20DD2ECA"/>
    <w:rsid w:val="20EF2BFD"/>
    <w:rsid w:val="211D3C0E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E66539"/>
    <w:rsid w:val="23F23130"/>
    <w:rsid w:val="242B03F0"/>
    <w:rsid w:val="246C2EE2"/>
    <w:rsid w:val="24F133E8"/>
    <w:rsid w:val="251B1717"/>
    <w:rsid w:val="252C2672"/>
    <w:rsid w:val="25381017"/>
    <w:rsid w:val="25387269"/>
    <w:rsid w:val="25D757BF"/>
    <w:rsid w:val="25E940BF"/>
    <w:rsid w:val="26B96187"/>
    <w:rsid w:val="27165388"/>
    <w:rsid w:val="2776130D"/>
    <w:rsid w:val="27E70AD2"/>
    <w:rsid w:val="27EDB9A1"/>
    <w:rsid w:val="28212236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66380"/>
    <w:rsid w:val="2A9E7E67"/>
    <w:rsid w:val="2AED4651"/>
    <w:rsid w:val="2B2F4C6A"/>
    <w:rsid w:val="2B4F70BA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960FD0"/>
    <w:rsid w:val="2DA21723"/>
    <w:rsid w:val="2DBE22D5"/>
    <w:rsid w:val="2DCC67A0"/>
    <w:rsid w:val="2DE47F8D"/>
    <w:rsid w:val="2DEA30CA"/>
    <w:rsid w:val="2DF81343"/>
    <w:rsid w:val="2E620EB2"/>
    <w:rsid w:val="2EA25753"/>
    <w:rsid w:val="2EA8720D"/>
    <w:rsid w:val="2EAD65D1"/>
    <w:rsid w:val="2ECB4CA9"/>
    <w:rsid w:val="2F25085E"/>
    <w:rsid w:val="2F486DA5"/>
    <w:rsid w:val="2F5B427F"/>
    <w:rsid w:val="2F803CE6"/>
    <w:rsid w:val="2F927575"/>
    <w:rsid w:val="2FA5374C"/>
    <w:rsid w:val="2FAF6379"/>
    <w:rsid w:val="2FB41BE1"/>
    <w:rsid w:val="2FB4573E"/>
    <w:rsid w:val="30077F63"/>
    <w:rsid w:val="300C7328"/>
    <w:rsid w:val="301306B6"/>
    <w:rsid w:val="30AB4D93"/>
    <w:rsid w:val="30DC54D6"/>
    <w:rsid w:val="30E20088"/>
    <w:rsid w:val="31570A76"/>
    <w:rsid w:val="31660CB9"/>
    <w:rsid w:val="317E6003"/>
    <w:rsid w:val="31886E82"/>
    <w:rsid w:val="31B639EF"/>
    <w:rsid w:val="320209E2"/>
    <w:rsid w:val="324E00CB"/>
    <w:rsid w:val="32B048E2"/>
    <w:rsid w:val="332B21BB"/>
    <w:rsid w:val="336E20A7"/>
    <w:rsid w:val="33884F17"/>
    <w:rsid w:val="3402116D"/>
    <w:rsid w:val="345968B4"/>
    <w:rsid w:val="34796F56"/>
    <w:rsid w:val="347B4A7C"/>
    <w:rsid w:val="34CF6095"/>
    <w:rsid w:val="35417A73"/>
    <w:rsid w:val="35425726"/>
    <w:rsid w:val="35F5085E"/>
    <w:rsid w:val="35F76384"/>
    <w:rsid w:val="36145188"/>
    <w:rsid w:val="362A675A"/>
    <w:rsid w:val="363870C8"/>
    <w:rsid w:val="3680281D"/>
    <w:rsid w:val="36CA3A99"/>
    <w:rsid w:val="36DD557A"/>
    <w:rsid w:val="36F079A3"/>
    <w:rsid w:val="36F40B16"/>
    <w:rsid w:val="37060F75"/>
    <w:rsid w:val="375F0685"/>
    <w:rsid w:val="37D5540B"/>
    <w:rsid w:val="37DA41AF"/>
    <w:rsid w:val="38562E4F"/>
    <w:rsid w:val="38575800"/>
    <w:rsid w:val="38ED3A6E"/>
    <w:rsid w:val="39113C01"/>
    <w:rsid w:val="39763A64"/>
    <w:rsid w:val="39C649EB"/>
    <w:rsid w:val="3A033549"/>
    <w:rsid w:val="3A4A561C"/>
    <w:rsid w:val="3AE25855"/>
    <w:rsid w:val="3B003F2D"/>
    <w:rsid w:val="3B1B0D67"/>
    <w:rsid w:val="3B755D09"/>
    <w:rsid w:val="3BA448B8"/>
    <w:rsid w:val="3BA725FA"/>
    <w:rsid w:val="3C7A1ABD"/>
    <w:rsid w:val="3CC005BE"/>
    <w:rsid w:val="3D8726E3"/>
    <w:rsid w:val="3DBA6615"/>
    <w:rsid w:val="3DC456E6"/>
    <w:rsid w:val="3DF76220"/>
    <w:rsid w:val="3DFD6502"/>
    <w:rsid w:val="3E481E73"/>
    <w:rsid w:val="3EE9266D"/>
    <w:rsid w:val="3F5C54AA"/>
    <w:rsid w:val="3FE43E1D"/>
    <w:rsid w:val="3FEE25A6"/>
    <w:rsid w:val="400C6ED0"/>
    <w:rsid w:val="40662A84"/>
    <w:rsid w:val="409B22DF"/>
    <w:rsid w:val="40B97058"/>
    <w:rsid w:val="40BC08F6"/>
    <w:rsid w:val="410A340F"/>
    <w:rsid w:val="411C75E7"/>
    <w:rsid w:val="413C37E5"/>
    <w:rsid w:val="415E375B"/>
    <w:rsid w:val="422D7327"/>
    <w:rsid w:val="42925DB2"/>
    <w:rsid w:val="42C10446"/>
    <w:rsid w:val="43366245"/>
    <w:rsid w:val="4339622E"/>
    <w:rsid w:val="438A4CDB"/>
    <w:rsid w:val="43A044FF"/>
    <w:rsid w:val="43AB20C9"/>
    <w:rsid w:val="447F5EC2"/>
    <w:rsid w:val="448C6831"/>
    <w:rsid w:val="44B71B00"/>
    <w:rsid w:val="45356EC9"/>
    <w:rsid w:val="4577303D"/>
    <w:rsid w:val="45943BEF"/>
    <w:rsid w:val="45F11042"/>
    <w:rsid w:val="46586B0A"/>
    <w:rsid w:val="4665733A"/>
    <w:rsid w:val="46713F31"/>
    <w:rsid w:val="4682613E"/>
    <w:rsid w:val="46A240EA"/>
    <w:rsid w:val="46CC73B9"/>
    <w:rsid w:val="471C20EE"/>
    <w:rsid w:val="4780267D"/>
    <w:rsid w:val="479B74B7"/>
    <w:rsid w:val="48360F8E"/>
    <w:rsid w:val="48515DC8"/>
    <w:rsid w:val="488C6E00"/>
    <w:rsid w:val="48B9571B"/>
    <w:rsid w:val="48CC544E"/>
    <w:rsid w:val="49290AF3"/>
    <w:rsid w:val="4961028C"/>
    <w:rsid w:val="497927B3"/>
    <w:rsid w:val="49995C78"/>
    <w:rsid w:val="49D56585"/>
    <w:rsid w:val="4A0F3425"/>
    <w:rsid w:val="4A3B6D2F"/>
    <w:rsid w:val="4AA06B93"/>
    <w:rsid w:val="4B1D6435"/>
    <w:rsid w:val="4B6B0F4E"/>
    <w:rsid w:val="4B8244EA"/>
    <w:rsid w:val="4BA83F51"/>
    <w:rsid w:val="4BDA4326"/>
    <w:rsid w:val="4BF278C2"/>
    <w:rsid w:val="4C03562B"/>
    <w:rsid w:val="4C3C0B3D"/>
    <w:rsid w:val="4C820C46"/>
    <w:rsid w:val="4CDF1BF4"/>
    <w:rsid w:val="4D27359B"/>
    <w:rsid w:val="4D53613E"/>
    <w:rsid w:val="4D7762D0"/>
    <w:rsid w:val="4D987FF5"/>
    <w:rsid w:val="4DAB1AD6"/>
    <w:rsid w:val="4DE17BEE"/>
    <w:rsid w:val="4DFE254E"/>
    <w:rsid w:val="4E037B64"/>
    <w:rsid w:val="4E125FF9"/>
    <w:rsid w:val="4E434405"/>
    <w:rsid w:val="4E4D5283"/>
    <w:rsid w:val="4E577EB0"/>
    <w:rsid w:val="4EA74993"/>
    <w:rsid w:val="4EBD5F65"/>
    <w:rsid w:val="4ECC43FA"/>
    <w:rsid w:val="4EF120B3"/>
    <w:rsid w:val="4F0E056F"/>
    <w:rsid w:val="4F29184C"/>
    <w:rsid w:val="4F2953A8"/>
    <w:rsid w:val="4F5543EF"/>
    <w:rsid w:val="4F894099"/>
    <w:rsid w:val="4FD01CC8"/>
    <w:rsid w:val="4FF5172F"/>
    <w:rsid w:val="50011E81"/>
    <w:rsid w:val="503C735D"/>
    <w:rsid w:val="5066262C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463135D"/>
    <w:rsid w:val="547277F2"/>
    <w:rsid w:val="54B95421"/>
    <w:rsid w:val="54CA02A1"/>
    <w:rsid w:val="550541C2"/>
    <w:rsid w:val="55990DAE"/>
    <w:rsid w:val="55B33C1E"/>
    <w:rsid w:val="55B856D8"/>
    <w:rsid w:val="55CA299B"/>
    <w:rsid w:val="55FD133D"/>
    <w:rsid w:val="56D402F0"/>
    <w:rsid w:val="56E542AB"/>
    <w:rsid w:val="56E83D9B"/>
    <w:rsid w:val="56F014EE"/>
    <w:rsid w:val="56F95FA8"/>
    <w:rsid w:val="570A3D11"/>
    <w:rsid w:val="576C677A"/>
    <w:rsid w:val="577613A7"/>
    <w:rsid w:val="580E13F0"/>
    <w:rsid w:val="581B5AAA"/>
    <w:rsid w:val="587873A1"/>
    <w:rsid w:val="58913FBE"/>
    <w:rsid w:val="58953AAF"/>
    <w:rsid w:val="58B8550F"/>
    <w:rsid w:val="59126EAD"/>
    <w:rsid w:val="597C6A1D"/>
    <w:rsid w:val="598F49A2"/>
    <w:rsid w:val="599C2C1B"/>
    <w:rsid w:val="59C72A09"/>
    <w:rsid w:val="59F64A21"/>
    <w:rsid w:val="59FD7B5D"/>
    <w:rsid w:val="5A221372"/>
    <w:rsid w:val="5A3B68D8"/>
    <w:rsid w:val="5A511C57"/>
    <w:rsid w:val="5A762E03"/>
    <w:rsid w:val="5ABA77FD"/>
    <w:rsid w:val="5ABD553F"/>
    <w:rsid w:val="5AF20E4A"/>
    <w:rsid w:val="5B3255E5"/>
    <w:rsid w:val="5B3C6463"/>
    <w:rsid w:val="5B3E6680"/>
    <w:rsid w:val="5BE03293"/>
    <w:rsid w:val="5C2C64D8"/>
    <w:rsid w:val="5C3F445D"/>
    <w:rsid w:val="5C784CD3"/>
    <w:rsid w:val="5C9A1694"/>
    <w:rsid w:val="5CB12E81"/>
    <w:rsid w:val="5CD97003"/>
    <w:rsid w:val="5CE60D7D"/>
    <w:rsid w:val="5D1268DC"/>
    <w:rsid w:val="5D681792"/>
    <w:rsid w:val="5D6D4FFA"/>
    <w:rsid w:val="5D740137"/>
    <w:rsid w:val="5D777C27"/>
    <w:rsid w:val="5D9702C9"/>
    <w:rsid w:val="5D9E6F62"/>
    <w:rsid w:val="5DE132F2"/>
    <w:rsid w:val="5DE711C8"/>
    <w:rsid w:val="5E622685"/>
    <w:rsid w:val="5E7720F2"/>
    <w:rsid w:val="5EF86DE5"/>
    <w:rsid w:val="5F1A6ABC"/>
    <w:rsid w:val="5F2E07B9"/>
    <w:rsid w:val="5F5A15AE"/>
    <w:rsid w:val="5F6D308F"/>
    <w:rsid w:val="5F920D48"/>
    <w:rsid w:val="5FE86BB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222274F"/>
    <w:rsid w:val="62791D4B"/>
    <w:rsid w:val="62864468"/>
    <w:rsid w:val="62871F66"/>
    <w:rsid w:val="62D33B51"/>
    <w:rsid w:val="62FD472A"/>
    <w:rsid w:val="630261E5"/>
    <w:rsid w:val="634E31D8"/>
    <w:rsid w:val="637F3391"/>
    <w:rsid w:val="6388475C"/>
    <w:rsid w:val="638D1F52"/>
    <w:rsid w:val="63AFD457"/>
    <w:rsid w:val="63B84AF5"/>
    <w:rsid w:val="63BD210C"/>
    <w:rsid w:val="63D01E3F"/>
    <w:rsid w:val="63DE27AE"/>
    <w:rsid w:val="63E63410"/>
    <w:rsid w:val="64942E6C"/>
    <w:rsid w:val="64EA6F30"/>
    <w:rsid w:val="65515201"/>
    <w:rsid w:val="655B398A"/>
    <w:rsid w:val="658E5B0E"/>
    <w:rsid w:val="65A11CE5"/>
    <w:rsid w:val="65E9543A"/>
    <w:rsid w:val="65F8742B"/>
    <w:rsid w:val="661701F9"/>
    <w:rsid w:val="66214BD4"/>
    <w:rsid w:val="662446C4"/>
    <w:rsid w:val="665C20B0"/>
    <w:rsid w:val="668D2269"/>
    <w:rsid w:val="6695111E"/>
    <w:rsid w:val="67582877"/>
    <w:rsid w:val="67672ABA"/>
    <w:rsid w:val="679338AF"/>
    <w:rsid w:val="679F2254"/>
    <w:rsid w:val="67B57CC9"/>
    <w:rsid w:val="67DC5256"/>
    <w:rsid w:val="67FE32FE"/>
    <w:rsid w:val="68077DF9"/>
    <w:rsid w:val="683230C8"/>
    <w:rsid w:val="68721717"/>
    <w:rsid w:val="687234C5"/>
    <w:rsid w:val="687E630D"/>
    <w:rsid w:val="68831B76"/>
    <w:rsid w:val="689C6793"/>
    <w:rsid w:val="68B41D2F"/>
    <w:rsid w:val="68DD74D8"/>
    <w:rsid w:val="69366BE8"/>
    <w:rsid w:val="69717C20"/>
    <w:rsid w:val="69A35096"/>
    <w:rsid w:val="69FD3262"/>
    <w:rsid w:val="6A0B3BD1"/>
    <w:rsid w:val="6A242EE4"/>
    <w:rsid w:val="6A521800"/>
    <w:rsid w:val="6A5E7D87"/>
    <w:rsid w:val="6A9260A0"/>
    <w:rsid w:val="6A9F256B"/>
    <w:rsid w:val="6AD541DF"/>
    <w:rsid w:val="6BD7DC98"/>
    <w:rsid w:val="6C0A7EB8"/>
    <w:rsid w:val="6C0C1E82"/>
    <w:rsid w:val="6C2A440B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BD1686"/>
    <w:rsid w:val="6DF17581"/>
    <w:rsid w:val="6E0E5A3E"/>
    <w:rsid w:val="6E5D69C5"/>
    <w:rsid w:val="6E5F44EB"/>
    <w:rsid w:val="6E6C09B6"/>
    <w:rsid w:val="6EDA443E"/>
    <w:rsid w:val="6F35349E"/>
    <w:rsid w:val="6F4D09C5"/>
    <w:rsid w:val="6F871F4B"/>
    <w:rsid w:val="6F914B78"/>
    <w:rsid w:val="6F9D176F"/>
    <w:rsid w:val="6FBD596D"/>
    <w:rsid w:val="6FCD36D6"/>
    <w:rsid w:val="70090BB2"/>
    <w:rsid w:val="702527F6"/>
    <w:rsid w:val="707A385E"/>
    <w:rsid w:val="707D334E"/>
    <w:rsid w:val="70A408DB"/>
    <w:rsid w:val="70A94143"/>
    <w:rsid w:val="70C25205"/>
    <w:rsid w:val="7121017E"/>
    <w:rsid w:val="7265409A"/>
    <w:rsid w:val="729D1A86"/>
    <w:rsid w:val="72D1172F"/>
    <w:rsid w:val="731C6E4F"/>
    <w:rsid w:val="7338355D"/>
    <w:rsid w:val="734D7008"/>
    <w:rsid w:val="738750FD"/>
    <w:rsid w:val="73DD48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6052A4"/>
    <w:rsid w:val="767B0330"/>
    <w:rsid w:val="767E1BCE"/>
    <w:rsid w:val="76CA4E14"/>
    <w:rsid w:val="76D33CC8"/>
    <w:rsid w:val="7715608F"/>
    <w:rsid w:val="77422BFC"/>
    <w:rsid w:val="776A5CCA"/>
    <w:rsid w:val="778D20C9"/>
    <w:rsid w:val="77E3618D"/>
    <w:rsid w:val="77EF4B32"/>
    <w:rsid w:val="78362761"/>
    <w:rsid w:val="786372CE"/>
    <w:rsid w:val="787C3EEC"/>
    <w:rsid w:val="788D60F9"/>
    <w:rsid w:val="78E4616D"/>
    <w:rsid w:val="790740FD"/>
    <w:rsid w:val="79703A50"/>
    <w:rsid w:val="798C63B0"/>
    <w:rsid w:val="79BA2F1D"/>
    <w:rsid w:val="79BD2A0E"/>
    <w:rsid w:val="79D57D57"/>
    <w:rsid w:val="7A0F14BB"/>
    <w:rsid w:val="7A124B07"/>
    <w:rsid w:val="7A861051"/>
    <w:rsid w:val="7ABB0CFB"/>
    <w:rsid w:val="7AC27BFC"/>
    <w:rsid w:val="7B3867F0"/>
    <w:rsid w:val="7B6A44CF"/>
    <w:rsid w:val="7BD9482D"/>
    <w:rsid w:val="7BDA1655"/>
    <w:rsid w:val="7BF5648F"/>
    <w:rsid w:val="7C127041"/>
    <w:rsid w:val="7C1A3BF8"/>
    <w:rsid w:val="7C507B69"/>
    <w:rsid w:val="7C5C4760"/>
    <w:rsid w:val="7CA50D41"/>
    <w:rsid w:val="7CD2057E"/>
    <w:rsid w:val="7D567401"/>
    <w:rsid w:val="7D57ABB7"/>
    <w:rsid w:val="7D67516A"/>
    <w:rsid w:val="7DAC7021"/>
    <w:rsid w:val="7DF05160"/>
    <w:rsid w:val="7DFDFF42"/>
    <w:rsid w:val="7E307C52"/>
    <w:rsid w:val="7EC16AFC"/>
    <w:rsid w:val="7EFFDC35"/>
    <w:rsid w:val="7F286B7B"/>
    <w:rsid w:val="7F2A28F3"/>
    <w:rsid w:val="7F2F7F0A"/>
    <w:rsid w:val="7F3D2627"/>
    <w:rsid w:val="7F5B0CFF"/>
    <w:rsid w:val="7F5B1A34"/>
    <w:rsid w:val="7F9F2248"/>
    <w:rsid w:val="7FB55BC6"/>
    <w:rsid w:val="7FDF36DE"/>
    <w:rsid w:val="9FBD733C"/>
    <w:rsid w:val="BFFEDD93"/>
    <w:rsid w:val="DFFAAC87"/>
    <w:rsid w:val="F7FE4EAB"/>
    <w:rsid w:val="FFB79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d277f4-8077-4cf1-a680-3dad176a7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277f4-8077-4cf1-a680-3dad176a7b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9</Pages>
  <Words>1377</Words>
  <Characters>1474</Characters>
  <Lines>32</Lines>
  <Paragraphs>9</Paragraphs>
  <TotalTime>13</TotalTime>
  <ScaleCrop>false</ScaleCrop>
  <LinksUpToDate>false</LinksUpToDate>
  <CharactersWithSpaces>1785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2022-03-14T09:52:00Z</dcterms:created>
  <dc:creator>dv</dc:creator>
  <cp:lastModifiedBy>user</cp:lastModifiedBy>
  <cp:lastPrinted>2023-06-08T18:32:00Z</cp:lastPrinted>
  <dcterms:modified xsi:type="dcterms:W3CDTF">2023-06-21T12:20:25Z</dcterms:modified>
  <dc:title>附件三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237566C233684564B1BB4A572CA3BE73</vt:lpwstr>
  </property>
  <property fmtid="{D5CDD505-2E9C-101B-9397-08002B2CF9AE}" pid="4" name="commondata">
    <vt:lpwstr>eyJoZGlkIjoiNDRjOGRmNWQ0OTQ0OGFiNzc1Yzg3ZDYzMzc4NDE1MmMifQ==</vt:lpwstr>
  </property>
</Properties>
</file>